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3D" w:rsidRDefault="009C353D" w:rsidP="009C353D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9C353D" w:rsidRDefault="009C353D" w:rsidP="009C353D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9C353D" w:rsidRPr="005D4C08" w:rsidRDefault="005D4C08" w:rsidP="009C353D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Pr="005D4C08">
        <w:rPr>
          <w:rFonts w:ascii="Times New Roman" w:hAnsi="Times New Roman" w:cs="Times New Roman"/>
          <w:sz w:val="28"/>
          <w:szCs w:val="28"/>
          <w:u w:val="single"/>
        </w:rPr>
        <w:t>20.04.2021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_GoBack"/>
      <w:r w:rsidRPr="005D4C08">
        <w:rPr>
          <w:rFonts w:ascii="Times New Roman" w:hAnsi="Times New Roman" w:cs="Times New Roman"/>
          <w:sz w:val="28"/>
          <w:szCs w:val="28"/>
          <w:u w:val="single"/>
        </w:rPr>
        <w:t>197-К</w:t>
      </w:r>
    </w:p>
    <w:bookmarkEnd w:id="0"/>
    <w:p w:rsidR="009C353D" w:rsidRDefault="009C353D" w:rsidP="009C353D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9C353D" w:rsidRDefault="009C353D" w:rsidP="009C353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</w:p>
    <w:p w:rsidR="009C353D" w:rsidRDefault="009C353D" w:rsidP="009C353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конкурсу</w:t>
      </w:r>
    </w:p>
    <w:p w:rsidR="009C353D" w:rsidRDefault="009C353D" w:rsidP="009C353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зайняття посади державної служби категорії «В» - головного спеціаліста сектору освітньої інформації та промоції Управління освіти Деснянської районної в місті Києві державної адміністрації</w:t>
      </w:r>
    </w:p>
    <w:p w:rsidR="005F46B2" w:rsidRPr="00EA76A7" w:rsidRDefault="003C7E43" w:rsidP="00880A5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</w:p>
    <w:p w:rsidR="009D2081" w:rsidRPr="001D4F4C" w:rsidRDefault="009D2081" w:rsidP="009D2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1026"/>
    </w:p>
    <w:tbl>
      <w:tblPr>
        <w:tblW w:w="0" w:type="auto"/>
        <w:tblCellSpacing w:w="0" w:type="auto"/>
        <w:tblInd w:w="-294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6945"/>
      </w:tblGrid>
      <w:tr w:rsidR="009D2081" w:rsidRPr="001D4F4C" w:rsidTr="0069735A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27"/>
            <w:bookmarkEnd w:id="1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Загальні умови</w:t>
            </w:r>
          </w:p>
        </w:tc>
        <w:bookmarkEnd w:id="2"/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69735A" w:rsidRDefault="009D2081" w:rsidP="000B5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1028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952BA" w:rsidRPr="0069735A" w:rsidRDefault="000A3AD7" w:rsidP="001D18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bookmarkStart w:id="4" w:name="1029"/>
            <w:bookmarkEnd w:id="3"/>
            <w:r w:rsidRPr="0069735A"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1. Координує роботу закладів освіти щодо дотримання чинного законодавства з питань інформаційного забезпечення розвитку системи освіти.</w:t>
            </w:r>
          </w:p>
          <w:p w:rsidR="000A3AD7" w:rsidRPr="0069735A" w:rsidRDefault="000A3AD7" w:rsidP="001D18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2. Розробляє план роботи сектору освітньої інформації та промоції, бере участь у розробці </w:t>
            </w:r>
            <w:proofErr w:type="spellStart"/>
            <w:r w:rsidRPr="0069735A"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проєктів</w:t>
            </w:r>
            <w:proofErr w:type="spellEnd"/>
            <w:r w:rsidRPr="0069735A"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 перспективних та поточних планів роботи Управління освіти Деснянської районної в місті Києві державної адміністрації.</w:t>
            </w:r>
          </w:p>
          <w:p w:rsidR="00D17CFB" w:rsidRPr="0069735A" w:rsidRDefault="00D17CFB" w:rsidP="001D18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3. Здійснює інформаційно-організаційний супровід процесу впровадження Державних стандартів дошкільної, початкової, загальної середньої та позашкільної освіти  закладами освіти усіх типів та форм власності.</w:t>
            </w:r>
          </w:p>
          <w:p w:rsidR="00587392" w:rsidRPr="0069735A" w:rsidRDefault="00587392" w:rsidP="001D1890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>4. Координує роботу пунктів тестування під час пробного зовнішнього незалежного оцінювання та під час основних сесій,  діяльність фахівців, залучених до зовнішнього незалежного оцінювання у Деснянському районі міста Києва, закладів освіти з питань моніторингових досліджень.</w:t>
            </w:r>
          </w:p>
          <w:p w:rsidR="00587392" w:rsidRPr="0069735A" w:rsidRDefault="00587392" w:rsidP="001D1890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>5. Забезпечує роботу Школи освітнього менеджменту.</w:t>
            </w:r>
          </w:p>
          <w:p w:rsidR="007A1C7A" w:rsidRPr="0069735A" w:rsidRDefault="005F25D6" w:rsidP="001D1890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>6. Проводить серед населення інформаційну, роз’яснювальну та пропагандистську роботу, з питань, що належать до компетенції сектору освітньої інформації та промоції. Готує інформаційно-аналітичні матеріали, пов’язані з роботою сектору освітньої інформації та промоції.</w:t>
            </w:r>
          </w:p>
          <w:p w:rsidR="00587392" w:rsidRPr="0069735A" w:rsidRDefault="007A1C7A" w:rsidP="001D1890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 xml:space="preserve"> 7. Розглядає звернення громадян, опрацьовує запити,  звернення народних депутатів України, депутатів Київської міської ради за напрямками діяльності сектору освітньої інформації та промоції та готує </w:t>
            </w:r>
            <w:proofErr w:type="spellStart"/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>проєкти</w:t>
            </w:r>
            <w:proofErr w:type="spellEnd"/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 xml:space="preserve"> відповідей або рішень, забезпечує доступ до публічної інформації, розпорядником якої є </w:t>
            </w:r>
            <w:r w:rsidRPr="0069735A">
              <w:rPr>
                <w:color w:val="000000" w:themeColor="text1"/>
                <w:sz w:val="28"/>
                <w:szCs w:val="28"/>
                <w:lang w:bidi="uk-UA"/>
              </w:rPr>
              <w:lastRenderedPageBreak/>
              <w:t>Управління освіти.</w:t>
            </w:r>
          </w:p>
          <w:p w:rsidR="007A1C7A" w:rsidRPr="0069735A" w:rsidRDefault="007A1C7A" w:rsidP="001D1890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 xml:space="preserve">8. В межах своїх повноважень бере участь у підготовці </w:t>
            </w:r>
            <w:proofErr w:type="spellStart"/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>проєктів</w:t>
            </w:r>
            <w:proofErr w:type="spellEnd"/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 xml:space="preserve"> наказів, матеріалів з відповідних питань на Колегію Управління освіти. Виконує інші доручення керівництва Управління освіти, які випливають із завдань, що покладені на Управління освіти.</w:t>
            </w:r>
          </w:p>
          <w:p w:rsidR="00955D3F" w:rsidRPr="0069735A" w:rsidRDefault="00955D3F" w:rsidP="001D1890">
            <w:pPr>
              <w:pStyle w:val="1"/>
              <w:tabs>
                <w:tab w:val="left" w:pos="1260"/>
              </w:tabs>
              <w:spacing w:after="0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69735A">
              <w:rPr>
                <w:color w:val="000000" w:themeColor="text1"/>
                <w:sz w:val="28"/>
                <w:szCs w:val="28"/>
                <w:lang w:bidi="uk-UA"/>
              </w:rPr>
              <w:t xml:space="preserve">9. Бере участь у  роботі з укомплектування, зберігання, обліку та використання архівних документів. </w:t>
            </w:r>
          </w:p>
          <w:tbl>
            <w:tblPr>
              <w:tblW w:w="6979" w:type="dxa"/>
              <w:tblLayout w:type="fixed"/>
              <w:tblLook w:val="04A0" w:firstRow="1" w:lastRow="0" w:firstColumn="1" w:lastColumn="0" w:noHBand="0" w:noVBand="1"/>
            </w:tblPr>
            <w:tblGrid>
              <w:gridCol w:w="6979"/>
            </w:tblGrid>
            <w:tr w:rsidR="00955D3F" w:rsidRPr="0069735A" w:rsidTr="00F36045">
              <w:tc>
                <w:tcPr>
                  <w:tcW w:w="6979" w:type="dxa"/>
                  <w:hideMark/>
                </w:tcPr>
                <w:p w:rsidR="00955D3F" w:rsidRPr="0069735A" w:rsidRDefault="00955D3F" w:rsidP="00F36045">
                  <w:pPr>
                    <w:pStyle w:val="1"/>
                    <w:tabs>
                      <w:tab w:val="left" w:pos="1260"/>
                      <w:tab w:val="left" w:pos="6729"/>
                    </w:tabs>
                    <w:spacing w:after="0"/>
                    <w:ind w:left="-75" w:right="34"/>
                    <w:jc w:val="both"/>
                    <w:rPr>
                      <w:color w:val="000000" w:themeColor="text1"/>
                      <w:sz w:val="28"/>
                      <w:szCs w:val="28"/>
                      <w:lang w:bidi="uk-UA"/>
                    </w:rPr>
                  </w:pPr>
                  <w:r w:rsidRPr="0069735A">
                    <w:rPr>
                      <w:color w:val="000000" w:themeColor="text1"/>
                      <w:sz w:val="28"/>
                      <w:szCs w:val="28"/>
                      <w:lang w:bidi="uk-UA"/>
                    </w:rPr>
                    <w:t>10. На період тимчасової відсутності (відпустка, хвороба та інші поважні причини) обов’я</w:t>
                  </w:r>
                  <w:r w:rsidR="00F36045">
                    <w:rPr>
                      <w:color w:val="000000" w:themeColor="text1"/>
                      <w:sz w:val="28"/>
                      <w:szCs w:val="28"/>
                      <w:lang w:bidi="uk-UA"/>
                    </w:rPr>
                    <w:t>зки головного спеціаліста сектору</w:t>
                  </w:r>
                  <w:r w:rsidRPr="0069735A">
                    <w:rPr>
                      <w:color w:val="000000" w:themeColor="text1"/>
                      <w:sz w:val="28"/>
                      <w:szCs w:val="28"/>
                      <w:lang w:bidi="uk-UA"/>
                    </w:rPr>
                    <w:t xml:space="preserve"> виконує інший працівник</w:t>
                  </w:r>
                  <w:r w:rsidR="00E01C6E">
                    <w:rPr>
                      <w:color w:val="000000" w:themeColor="text1"/>
                      <w:sz w:val="28"/>
                      <w:szCs w:val="28"/>
                      <w:lang w:bidi="uk-UA"/>
                    </w:rPr>
                    <w:t xml:space="preserve"> </w:t>
                  </w:r>
                  <w:r w:rsidRPr="0069735A">
                    <w:rPr>
                      <w:color w:val="000000" w:themeColor="text1"/>
                      <w:sz w:val="28"/>
                      <w:szCs w:val="28"/>
                      <w:lang w:bidi="uk-UA"/>
                    </w:rPr>
                    <w:t xml:space="preserve"> цього ж сектору.</w:t>
                  </w:r>
                </w:p>
              </w:tc>
            </w:tr>
          </w:tbl>
          <w:p w:rsidR="00955D3F" w:rsidRPr="0069735A" w:rsidRDefault="00955D3F" w:rsidP="001D1890">
            <w:pPr>
              <w:pStyle w:val="1"/>
              <w:tabs>
                <w:tab w:val="left" w:pos="126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uk-UA"/>
              </w:rPr>
            </w:pPr>
          </w:p>
        </w:tc>
        <w:bookmarkEnd w:id="4"/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1030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71F9" w:rsidRPr="0069735A" w:rsidRDefault="00677E73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1031"/>
            <w:bookmarkEnd w:id="5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5 300</w:t>
            </w:r>
            <w:r w:rsidR="005471F9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</w:t>
            </w:r>
          </w:p>
          <w:p w:rsidR="005471F9" w:rsidRPr="0069735A" w:rsidRDefault="005471F9" w:rsidP="002656EE">
            <w:pPr>
              <w:tabs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9D2081" w:rsidRPr="0069735A" w:rsidRDefault="00C17CF5" w:rsidP="002656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  <w:bookmarkEnd w:id="6"/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69735A" w:rsidRDefault="009D2081" w:rsidP="00DA2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1032"/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2D4D" w:rsidRPr="0069735A" w:rsidRDefault="00DA2D4D" w:rsidP="00DA2D4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033"/>
            <w:bookmarkEnd w:id="7"/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DA2D4D" w:rsidRPr="0069735A" w:rsidRDefault="00DA2D4D" w:rsidP="002656EE">
            <w:pPr>
              <w:tabs>
                <w:tab w:val="left" w:pos="0"/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9D2081" w:rsidRPr="0069735A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8"/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69735A" w:rsidRDefault="009D2081" w:rsidP="00B33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1034"/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3FBE" w:rsidRPr="0069735A" w:rsidRDefault="009D2081" w:rsidP="0014160F">
            <w:pPr>
              <w:pStyle w:val="a3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35"/>
            <w:bookmarkEnd w:id="9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3FBE"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 проведення конкурсу на зайняття посад державної служби,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України </w:t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 про стаж роботи, стаж державної служби (за наявності), досвід роботи на відповідних посадах у 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відповідній сфері, визначеній в умовах конкурсу, та на керівних посадах (за наявності відповідних вимог);</w:t>
            </w:r>
          </w:p>
          <w:p w:rsidR="00B33FBE" w:rsidRPr="0069735A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9F23BD" w:rsidRPr="005778D6" w:rsidRDefault="009F23BD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5778D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 приймаються до 17:00 год. 00 хв. </w:t>
            </w:r>
          </w:p>
          <w:p w:rsidR="009D2081" w:rsidRPr="0069735A" w:rsidRDefault="005778D6" w:rsidP="0014160F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8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F23BD" w:rsidRPr="005778D6">
              <w:rPr>
                <w:rFonts w:ascii="Times New Roman" w:hAnsi="Times New Roman" w:cs="Times New Roman"/>
                <w:sz w:val="28"/>
                <w:szCs w:val="28"/>
              </w:rPr>
              <w:t>.04.2021 року</w:t>
            </w:r>
          </w:p>
        </w:tc>
        <w:bookmarkEnd w:id="10"/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69735A" w:rsidRDefault="009D2081" w:rsidP="0014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036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2656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2" w:name="1037"/>
            <w:bookmarkEnd w:id="11"/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  <w:bookmarkEnd w:id="12"/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C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038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</w:t>
            </w:r>
            <w:r w:rsidR="007C689A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спосіб проведення співбесіди 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DA7E6D" w:rsidRDefault="00DA7E6D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1039"/>
            <w:bookmarkEnd w:id="13"/>
            <w:r w:rsidRPr="00DA7E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4420" w:rsidRPr="00DA7E6D">
              <w:rPr>
                <w:rFonts w:ascii="Times New Roman" w:hAnsi="Times New Roman" w:cs="Times New Roman"/>
                <w:sz w:val="28"/>
                <w:szCs w:val="28"/>
              </w:rPr>
              <w:t>.04.2021 року 10</w:t>
            </w:r>
            <w:r w:rsidR="007C689A" w:rsidRPr="00DA7E6D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 </w:t>
            </w:r>
          </w:p>
          <w:p w:rsidR="007C689A" w:rsidRPr="0069735A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9A" w:rsidRPr="0069735A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9A" w:rsidRPr="0069735A" w:rsidRDefault="007C689A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3616">
              <w:rPr>
                <w:rFonts w:ascii="Times New Roman" w:hAnsi="Times New Roman" w:cs="Times New Roman"/>
                <w:sz w:val="28"/>
                <w:szCs w:val="28"/>
              </w:rPr>
              <w:t>Маяковського, 49-б (спеціалізована школа № 250)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9D2081" w:rsidRPr="0069735A" w:rsidRDefault="00B814AE" w:rsidP="00B9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</w:t>
            </w:r>
            <w:r w:rsidR="000A2659"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89A"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</w:tc>
        <w:bookmarkEnd w:id="14"/>
      </w:tr>
      <w:tr w:rsidR="007C689A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689A" w:rsidRPr="0069735A" w:rsidRDefault="006D6A2B" w:rsidP="00735D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="00023271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69735A" w:rsidRDefault="0087177E" w:rsidP="0087177E">
            <w:pPr>
              <w:spacing w:after="20"/>
              <w:ind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 (проведення співбесіди з метою визначення с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 за фізичної присутності кандидатів)</w:t>
            </w:r>
          </w:p>
        </w:tc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5" w:name="1040"/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Прізвище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69735A" w:rsidRDefault="009D2081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6" w:name="1041"/>
            <w:bookmarkEnd w:id="15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0625A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 w:rsidR="0040625A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="0040625A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0625A" w:rsidRPr="0069735A" w:rsidRDefault="0040625A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6B00C7" w:rsidRPr="0069735A" w:rsidRDefault="006B00C7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B00C7" w:rsidRPr="0069735A" w:rsidRDefault="006B00C7" w:rsidP="00E57354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  <w:bookmarkEnd w:id="16"/>
      </w:tr>
      <w:tr w:rsidR="009D2081" w:rsidRPr="001D4F4C" w:rsidTr="0069735A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42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Кваліфікаційні вимоги</w:t>
            </w:r>
          </w:p>
        </w:tc>
        <w:bookmarkEnd w:id="17"/>
      </w:tr>
      <w:tr w:rsidR="009D2081" w:rsidRPr="001D4F4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43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44"/>
            <w:bookmarkEnd w:id="18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83166B" w:rsidP="00831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45"/>
            <w:bookmarkEnd w:id="19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 освіта за осв</w:t>
            </w:r>
            <w:r w:rsidR="008663EE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ітнім ступенем не нижче бакалавра, молодшого бакалавра</w:t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відповідного спрямування</w:t>
            </w:r>
          </w:p>
        </w:tc>
        <w:bookmarkEnd w:id="20"/>
      </w:tr>
      <w:tr w:rsidR="009D2081" w:rsidRPr="001D4F4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46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47"/>
            <w:bookmarkEnd w:id="21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4F79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48"/>
            <w:bookmarkEnd w:id="22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79CC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  <w:bookmarkEnd w:id="23"/>
      </w:tr>
      <w:tr w:rsidR="009D2081" w:rsidRPr="001D4F4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49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50"/>
            <w:bookmarkEnd w:id="24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1"/>
            <w:bookmarkEnd w:id="25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72E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  <w:bookmarkEnd w:id="26"/>
      </w:tr>
      <w:tr w:rsidR="009D2081" w:rsidRPr="001D4F4C" w:rsidTr="0069735A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52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Вимоги до компетентності</w:t>
            </w:r>
          </w:p>
        </w:tc>
        <w:bookmarkEnd w:id="27"/>
      </w:tr>
      <w:tr w:rsidR="009D2081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D5257D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53"/>
            <w:r w:rsidRPr="00D52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69735A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54"/>
            <w:bookmarkEnd w:id="28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29"/>
      </w:tr>
      <w:tr w:rsidR="00213790" w:rsidRPr="006F11A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69735A" w:rsidRDefault="00297986" w:rsidP="00451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69735A" w:rsidRDefault="0064382A" w:rsidP="004516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69735A" w:rsidRDefault="00063EA6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ваги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свого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внеску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 (структурного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/державного органу)</w:t>
            </w:r>
            <w:r w:rsidR="00213790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69735A" w:rsidRDefault="00063EA6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375D0D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орієнтація</w:t>
            </w:r>
            <w:proofErr w:type="spellEnd"/>
            <w:r w:rsidR="00375D0D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375D0D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командний</w:t>
            </w:r>
            <w:proofErr w:type="spellEnd"/>
            <w:r w:rsidR="00375D0D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</w:t>
            </w:r>
            <w:r w:rsidR="00213790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69735A" w:rsidRDefault="00375D0D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працювати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колегам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задля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спільних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цілей</w:t>
            </w:r>
            <w:proofErr w:type="spellEnd"/>
            <w:r w:rsidR="00213790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97986" w:rsidRPr="0069735A" w:rsidRDefault="00375D0D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 w:rsidR="00213790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97986" w:rsidRPr="006F11A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69735A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7986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69735A" w:rsidRDefault="005A215B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 грамотність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E4" w:rsidRPr="0069735A" w:rsidRDefault="00C50664" w:rsidP="00DC6E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215B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вміння використовувати</w:t>
            </w:r>
            <w:r w:rsidR="00EE0261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  <w:r w:rsidR="005A215B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7986" w:rsidRPr="006973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7986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вміння використовувати сервіси інтернету для ефективного пошуку потрібної інформації</w:t>
            </w:r>
            <w:r w:rsidR="00297986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DC6EE4" w:rsidRPr="0069735A" w:rsidRDefault="000063D2" w:rsidP="00DC6E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6EE4" w:rsidRPr="0069735A">
              <w:rPr>
                <w:rFonts w:ascii="Times New Roman" w:hAnsi="Times New Roman" w:cs="Times New Roman"/>
                <w:sz w:val="28"/>
                <w:szCs w:val="28"/>
              </w:rPr>
              <w:t>здатність працювати з документами в різних цифрових форматах</w:t>
            </w:r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зберігати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накопичувати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впорядковувати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архівувати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цифрові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дані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різних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типів</w:t>
            </w:r>
            <w:proofErr w:type="spellEnd"/>
            <w:r w:rsidR="00DC6EE4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063D2" w:rsidRPr="0069735A" w:rsidRDefault="000063D2" w:rsidP="000063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уникати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небезпек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середовищі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захищати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особисті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конфідеційні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02D27" w:rsidRPr="0069735A" w:rsidRDefault="000063D2" w:rsidP="00002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реєстри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електронного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документообігу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урядові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електронного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листування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своїх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посадових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обов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язків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сервіси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спільного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користуватись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кваліфікованим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електронним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підписом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(КЕП)</w:t>
            </w:r>
            <w:r w:rsidR="00D22F58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97986" w:rsidRPr="0069735A" w:rsidRDefault="000063D2" w:rsidP="000063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власного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професійного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94E54" w:rsidRPr="006F11A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69735A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69735A" w:rsidRDefault="00194E54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69735A" w:rsidRDefault="00194E54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41CE"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усвідомлення важливості якісного виконання своїх посадових обов’язків з дотриманням строків та встановлених процедур</w:t>
            </w:r>
            <w:r w:rsidR="004641CE"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69735A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69735A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</w:tc>
      </w:tr>
      <w:tr w:rsidR="00297986" w:rsidRPr="001D4F4C" w:rsidTr="0069735A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69735A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64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Професійні знання</w:t>
            </w:r>
          </w:p>
        </w:tc>
        <w:bookmarkEnd w:id="30"/>
      </w:tr>
      <w:tr w:rsidR="00297986" w:rsidRPr="001D4F4C" w:rsidTr="0069735A">
        <w:trPr>
          <w:trHeight w:val="45"/>
          <w:tblCellSpacing w:w="0" w:type="auto"/>
        </w:trPr>
        <w:tc>
          <w:tcPr>
            <w:tcW w:w="29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D5257D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65"/>
            <w:r w:rsidRPr="00D52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69735A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66"/>
            <w:bookmarkEnd w:id="31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32"/>
      </w:tr>
      <w:tr w:rsidR="00297986" w:rsidRPr="001D4F4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67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1068"/>
            <w:bookmarkEnd w:id="33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5" w:name="1069"/>
            <w:bookmarkEnd w:id="34"/>
            <w:proofErr w:type="spellStart"/>
            <w:proofErr w:type="gram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Закону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35"/>
      </w:tr>
      <w:tr w:rsidR="00297986" w:rsidRPr="001D4F4C" w:rsidTr="0069735A">
        <w:trPr>
          <w:trHeight w:val="45"/>
          <w:tblCellSpacing w:w="0" w:type="auto"/>
        </w:trPr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70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1071"/>
            <w:bookmarkEnd w:id="36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Знання спеціального законодавства, що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язане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8" w:name="1072"/>
            <w:bookmarkEnd w:id="37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 w:rsidRPr="006973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середню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6973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69735A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2110D"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2110D" w:rsidRPr="0069735A" w:rsidRDefault="0032110D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</w:rPr>
              <w:t>Закон України «Про позашкільну освіту»</w:t>
            </w:r>
            <w:r w:rsidR="00002D27"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02D27" w:rsidRPr="0069735A" w:rsidRDefault="00002D27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доступ до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697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1356B" w:rsidRPr="0069735A" w:rsidRDefault="00A1356B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38"/>
      </w:tr>
    </w:tbl>
    <w:p w:rsidR="00A6473D" w:rsidRDefault="00A6473D" w:rsidP="009D2081">
      <w:pPr>
        <w:rPr>
          <w:sz w:val="24"/>
          <w:szCs w:val="24"/>
        </w:rPr>
      </w:pPr>
    </w:p>
    <w:p w:rsidR="00D5257D" w:rsidRDefault="00D5257D" w:rsidP="009D2081">
      <w:pPr>
        <w:rPr>
          <w:sz w:val="24"/>
          <w:szCs w:val="24"/>
        </w:rPr>
      </w:pPr>
    </w:p>
    <w:p w:rsidR="0069735A" w:rsidRPr="0069735A" w:rsidRDefault="00D5257D" w:rsidP="009D2081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r w:rsidR="0069735A" w:rsidRPr="0069735A">
        <w:rPr>
          <w:rFonts w:ascii="Times New Roman" w:hAnsi="Times New Roman" w:cs="Times New Roman"/>
          <w:sz w:val="28"/>
          <w:szCs w:val="28"/>
        </w:rPr>
        <w:t xml:space="preserve">Начальник Управління   </w:t>
      </w:r>
      <w:r w:rsidR="0069735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9735A" w:rsidRPr="0069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735A" w:rsidRPr="0069735A">
        <w:rPr>
          <w:rFonts w:ascii="Times New Roman" w:hAnsi="Times New Roman" w:cs="Times New Roman"/>
          <w:sz w:val="28"/>
          <w:szCs w:val="28"/>
        </w:rPr>
        <w:t xml:space="preserve">Тамара ПОСТОЛЮК                                                                  </w:t>
      </w:r>
    </w:p>
    <w:sectPr w:rsidR="0069735A" w:rsidRPr="0069735A" w:rsidSect="001D4F4C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55D"/>
    <w:multiLevelType w:val="hybridMultilevel"/>
    <w:tmpl w:val="69986E1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52166769"/>
    <w:multiLevelType w:val="hybridMultilevel"/>
    <w:tmpl w:val="0C162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8A5"/>
    <w:multiLevelType w:val="hybridMultilevel"/>
    <w:tmpl w:val="8CB2F740"/>
    <w:lvl w:ilvl="0" w:tplc="2EF6DC7E">
      <w:start w:val="2"/>
      <w:numFmt w:val="bullet"/>
      <w:lvlText w:val="-"/>
      <w:lvlJc w:val="left"/>
      <w:pPr>
        <w:ind w:left="49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588E7CDE"/>
    <w:multiLevelType w:val="hybridMultilevel"/>
    <w:tmpl w:val="4AE833FE"/>
    <w:lvl w:ilvl="0" w:tplc="98B01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33D6"/>
    <w:multiLevelType w:val="hybridMultilevel"/>
    <w:tmpl w:val="8E803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50050"/>
    <w:multiLevelType w:val="hybridMultilevel"/>
    <w:tmpl w:val="2B42EECA"/>
    <w:lvl w:ilvl="0" w:tplc="63DED51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4"/>
    <w:rsid w:val="00002D27"/>
    <w:rsid w:val="0000559A"/>
    <w:rsid w:val="000063D2"/>
    <w:rsid w:val="00023271"/>
    <w:rsid w:val="00056F29"/>
    <w:rsid w:val="00063EA6"/>
    <w:rsid w:val="000A2659"/>
    <w:rsid w:val="000A3AD7"/>
    <w:rsid w:val="000B5FF9"/>
    <w:rsid w:val="000C6C12"/>
    <w:rsid w:val="00113616"/>
    <w:rsid w:val="0014160F"/>
    <w:rsid w:val="00141A24"/>
    <w:rsid w:val="00157592"/>
    <w:rsid w:val="001776B2"/>
    <w:rsid w:val="00194E54"/>
    <w:rsid w:val="001D1890"/>
    <w:rsid w:val="001D3BCD"/>
    <w:rsid w:val="001D4F4C"/>
    <w:rsid w:val="001E0E92"/>
    <w:rsid w:val="001F6C6A"/>
    <w:rsid w:val="00213790"/>
    <w:rsid w:val="00254720"/>
    <w:rsid w:val="002656EE"/>
    <w:rsid w:val="00271D08"/>
    <w:rsid w:val="00297986"/>
    <w:rsid w:val="002A2C5F"/>
    <w:rsid w:val="002B6371"/>
    <w:rsid w:val="002C2816"/>
    <w:rsid w:val="002C531B"/>
    <w:rsid w:val="002D21FD"/>
    <w:rsid w:val="002E0954"/>
    <w:rsid w:val="003202B6"/>
    <w:rsid w:val="0032110D"/>
    <w:rsid w:val="00361FC7"/>
    <w:rsid w:val="00367CA6"/>
    <w:rsid w:val="00375D0D"/>
    <w:rsid w:val="0039746A"/>
    <w:rsid w:val="003C7E43"/>
    <w:rsid w:val="0040625A"/>
    <w:rsid w:val="004361A2"/>
    <w:rsid w:val="00451617"/>
    <w:rsid w:val="004641CE"/>
    <w:rsid w:val="004E2F86"/>
    <w:rsid w:val="004E3098"/>
    <w:rsid w:val="004F79CC"/>
    <w:rsid w:val="00537858"/>
    <w:rsid w:val="00543584"/>
    <w:rsid w:val="005471F9"/>
    <w:rsid w:val="00564E09"/>
    <w:rsid w:val="005778D6"/>
    <w:rsid w:val="005849B1"/>
    <w:rsid w:val="0058716A"/>
    <w:rsid w:val="00587392"/>
    <w:rsid w:val="005A215B"/>
    <w:rsid w:val="005D2C09"/>
    <w:rsid w:val="005D4C08"/>
    <w:rsid w:val="005F25D6"/>
    <w:rsid w:val="005F46B2"/>
    <w:rsid w:val="006014A9"/>
    <w:rsid w:val="006219BB"/>
    <w:rsid w:val="00622FF4"/>
    <w:rsid w:val="006264FA"/>
    <w:rsid w:val="00635E46"/>
    <w:rsid w:val="0064382A"/>
    <w:rsid w:val="00677E73"/>
    <w:rsid w:val="0069735A"/>
    <w:rsid w:val="006B00C7"/>
    <w:rsid w:val="006D6A2B"/>
    <w:rsid w:val="006F11AC"/>
    <w:rsid w:val="007010B5"/>
    <w:rsid w:val="00705F5B"/>
    <w:rsid w:val="00742DAA"/>
    <w:rsid w:val="00765F24"/>
    <w:rsid w:val="0079106B"/>
    <w:rsid w:val="007A1C7A"/>
    <w:rsid w:val="007C0E22"/>
    <w:rsid w:val="007C689A"/>
    <w:rsid w:val="0081635B"/>
    <w:rsid w:val="0083166B"/>
    <w:rsid w:val="008663EE"/>
    <w:rsid w:val="0087177E"/>
    <w:rsid w:val="008760C9"/>
    <w:rsid w:val="00880A58"/>
    <w:rsid w:val="008D4453"/>
    <w:rsid w:val="008D47D5"/>
    <w:rsid w:val="00904E10"/>
    <w:rsid w:val="00915212"/>
    <w:rsid w:val="0093709A"/>
    <w:rsid w:val="009456E7"/>
    <w:rsid w:val="00952002"/>
    <w:rsid w:val="00955D3F"/>
    <w:rsid w:val="009C353D"/>
    <w:rsid w:val="009D2081"/>
    <w:rsid w:val="009F23BD"/>
    <w:rsid w:val="009F594B"/>
    <w:rsid w:val="00A05F25"/>
    <w:rsid w:val="00A1356B"/>
    <w:rsid w:val="00A47CE3"/>
    <w:rsid w:val="00A6473D"/>
    <w:rsid w:val="00A864FE"/>
    <w:rsid w:val="00A97084"/>
    <w:rsid w:val="00AC309D"/>
    <w:rsid w:val="00AD08EE"/>
    <w:rsid w:val="00AE48FF"/>
    <w:rsid w:val="00B32AA2"/>
    <w:rsid w:val="00B33FBE"/>
    <w:rsid w:val="00B51CD3"/>
    <w:rsid w:val="00B64B58"/>
    <w:rsid w:val="00B76DED"/>
    <w:rsid w:val="00B77D9A"/>
    <w:rsid w:val="00B814AE"/>
    <w:rsid w:val="00B94420"/>
    <w:rsid w:val="00BA4347"/>
    <w:rsid w:val="00BA5FF9"/>
    <w:rsid w:val="00BC58D5"/>
    <w:rsid w:val="00BD4576"/>
    <w:rsid w:val="00BD46F0"/>
    <w:rsid w:val="00C01DFC"/>
    <w:rsid w:val="00C14C64"/>
    <w:rsid w:val="00C17CF5"/>
    <w:rsid w:val="00C271A2"/>
    <w:rsid w:val="00C46D44"/>
    <w:rsid w:val="00C50664"/>
    <w:rsid w:val="00CB39F5"/>
    <w:rsid w:val="00CC7A74"/>
    <w:rsid w:val="00CD00BC"/>
    <w:rsid w:val="00D17CFB"/>
    <w:rsid w:val="00D214CA"/>
    <w:rsid w:val="00D22F58"/>
    <w:rsid w:val="00D37681"/>
    <w:rsid w:val="00D407C1"/>
    <w:rsid w:val="00D5257D"/>
    <w:rsid w:val="00D543FB"/>
    <w:rsid w:val="00D952BA"/>
    <w:rsid w:val="00D97EFD"/>
    <w:rsid w:val="00DA2D4D"/>
    <w:rsid w:val="00DA7B4D"/>
    <w:rsid w:val="00DA7E6D"/>
    <w:rsid w:val="00DC0A64"/>
    <w:rsid w:val="00DC6EE4"/>
    <w:rsid w:val="00DD4615"/>
    <w:rsid w:val="00E01C6E"/>
    <w:rsid w:val="00E01E12"/>
    <w:rsid w:val="00E11009"/>
    <w:rsid w:val="00E57354"/>
    <w:rsid w:val="00E63AFB"/>
    <w:rsid w:val="00E76B85"/>
    <w:rsid w:val="00E95D52"/>
    <w:rsid w:val="00EA272E"/>
    <w:rsid w:val="00EA76A7"/>
    <w:rsid w:val="00EE0261"/>
    <w:rsid w:val="00F127D1"/>
    <w:rsid w:val="00F26DB2"/>
    <w:rsid w:val="00F36045"/>
    <w:rsid w:val="00F81501"/>
    <w:rsid w:val="00FC38AC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30FA-9C26-4B6C-BBDE-D5D3D5B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D208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8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3">
    <w:name w:val="No Spacing"/>
    <w:uiPriority w:val="1"/>
    <w:qFormat/>
    <w:rsid w:val="00B33F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Normal (Web)"/>
    <w:basedOn w:val="a"/>
    <w:semiHidden/>
    <w:unhideWhenUsed/>
    <w:rsid w:val="00A4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_"/>
    <w:link w:val="1"/>
    <w:locked/>
    <w:rsid w:val="00A47CE3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5"/>
    <w:rsid w:val="00A47CE3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  <w:style w:type="paragraph" w:styleId="a6">
    <w:name w:val="List Paragraph"/>
    <w:basedOn w:val="a"/>
    <w:uiPriority w:val="34"/>
    <w:qFormat/>
    <w:rsid w:val="00141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3F53-D1E5-4724-8980-392399EE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5219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188</cp:revision>
  <cp:lastPrinted>2021-04-13T07:14:00Z</cp:lastPrinted>
  <dcterms:created xsi:type="dcterms:W3CDTF">2021-04-09T11:51:00Z</dcterms:created>
  <dcterms:modified xsi:type="dcterms:W3CDTF">2021-04-19T13:20:00Z</dcterms:modified>
</cp:coreProperties>
</file>