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16" w:rsidRDefault="00FA0916" w:rsidP="00FA0916">
      <w:pPr>
        <w:pStyle w:val="1"/>
        <w:pBdr>
          <w:left w:val="single" w:sz="36" w:space="15" w:color="4B84BF"/>
        </w:pBdr>
        <w:shd w:val="clear" w:color="auto" w:fill="FFFFFF"/>
        <w:spacing w:before="0" w:after="192"/>
        <w:rPr>
          <w:rFonts w:ascii="inherit" w:hAnsi="inherit" w:cs="Arial"/>
          <w:bCs w:val="0"/>
          <w:color w:val="1D1D1B"/>
        </w:rPr>
      </w:pPr>
      <w:r>
        <w:rPr>
          <w:rFonts w:ascii="inherit" w:hAnsi="inherit" w:cs="Arial"/>
          <w:b/>
          <w:bCs w:val="0"/>
          <w:color w:val="1D1D1B"/>
        </w:rPr>
        <w:t>Роз’яснення щодо застосування окремих положень Закону України «Про запобігання корупції» стосовно заходів фінансового контролю</w:t>
      </w:r>
    </w:p>
    <w:p w:rsidR="00FA0916" w:rsidRDefault="00FA0916" w:rsidP="00FA0916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1D1D1B"/>
          <w:sz w:val="27"/>
          <w:szCs w:val="27"/>
        </w:rPr>
      </w:pPr>
      <w:r>
        <w:rPr>
          <w:rFonts w:ascii="Arial" w:hAnsi="Arial" w:cs="Arial"/>
          <w:color w:val="1D1D1B"/>
          <w:sz w:val="27"/>
          <w:szCs w:val="27"/>
        </w:rPr>
        <w:t>Для полегшення процесу заповнення декларацій та з метою однакового застосування законодавства стосовно вимог фінансового контролю Національне агентство з питань запобігання корупції підготувало </w:t>
      </w:r>
      <w:r>
        <w:rPr>
          <w:rStyle w:val="a8"/>
          <w:rFonts w:ascii="Arial" w:hAnsi="Arial" w:cs="Arial"/>
          <w:color w:val="1D1D1B"/>
          <w:sz w:val="27"/>
          <w:szCs w:val="27"/>
          <w:u w:val="single"/>
        </w:rPr>
        <w:t>Роз’яснення щодо застосування окремих положень Закону України «Про запобігання корупції» стосовно заходів фінансового контролю, а також відповіді на запитання, які виникли у суб’єктів декларування при роботі з Реєстром декларацій</w:t>
      </w:r>
      <w:r>
        <w:rPr>
          <w:rFonts w:ascii="Arial" w:hAnsi="Arial" w:cs="Arial"/>
          <w:color w:val="1D1D1B"/>
          <w:sz w:val="27"/>
          <w:szCs w:val="27"/>
        </w:rPr>
        <w:t>.</w:t>
      </w:r>
    </w:p>
    <w:p w:rsidR="00FA0916" w:rsidRDefault="00FA0916" w:rsidP="00FA0916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1D1D1B"/>
          <w:sz w:val="27"/>
          <w:szCs w:val="27"/>
        </w:rPr>
      </w:pPr>
      <w:r>
        <w:rPr>
          <w:rFonts w:ascii="Arial" w:hAnsi="Arial" w:cs="Arial"/>
          <w:color w:val="1D1D1B"/>
          <w:sz w:val="27"/>
          <w:szCs w:val="27"/>
        </w:rPr>
        <w:t>Так, на сайті НАЗК розміщені:</w:t>
      </w:r>
    </w:p>
    <w:p w:rsidR="00FA0916" w:rsidRDefault="00FA0916" w:rsidP="00FA09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1D1D1B"/>
          <w:sz w:val="27"/>
          <w:szCs w:val="27"/>
        </w:rPr>
      </w:pPr>
      <w:hyperlink r:id="rId5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Роз’яснення НАЗК щодо застосування окремих положень Закону України «Про запобігання корупції» стосовно заходів фінансового контролю</w:t>
        </w:r>
      </w:hyperlink>
      <w:r>
        <w:rPr>
          <w:rFonts w:ascii="Arial" w:hAnsi="Arial" w:cs="Arial"/>
          <w:color w:val="1D1D1B"/>
          <w:sz w:val="27"/>
          <w:szCs w:val="27"/>
          <w:u w:val="single"/>
        </w:rPr>
        <w:t>;</w:t>
      </w:r>
    </w:p>
    <w:p w:rsidR="00FA0916" w:rsidRDefault="00FA0916" w:rsidP="00FA09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1D1D1B"/>
          <w:sz w:val="27"/>
          <w:szCs w:val="27"/>
        </w:rPr>
      </w:pPr>
      <w:hyperlink r:id="rId6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Відповіді на популярні питання декларування-2021 у відео-форматі</w:t>
        </w:r>
      </w:hyperlink>
      <w:r>
        <w:rPr>
          <w:rFonts w:ascii="Arial" w:hAnsi="Arial" w:cs="Arial"/>
          <w:color w:val="1D1D1B"/>
          <w:sz w:val="27"/>
          <w:szCs w:val="27"/>
          <w:u w:val="single"/>
        </w:rPr>
        <w:t>;</w:t>
      </w:r>
    </w:p>
    <w:p w:rsidR="00FA0916" w:rsidRDefault="00FA0916" w:rsidP="00FA09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1D1D1B"/>
          <w:sz w:val="27"/>
          <w:szCs w:val="27"/>
        </w:rPr>
      </w:pPr>
      <w:hyperlink r:id="rId7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Інформація щодо внесення в декларацію унікального номера запису в Єдиному державному демографічному реєстрі</w:t>
        </w:r>
      </w:hyperlink>
      <w:r>
        <w:rPr>
          <w:rFonts w:ascii="Arial" w:hAnsi="Arial" w:cs="Arial"/>
          <w:color w:val="1D1D1B"/>
          <w:sz w:val="27"/>
          <w:szCs w:val="27"/>
          <w:u w:val="single"/>
        </w:rPr>
        <w:t>;</w:t>
      </w:r>
    </w:p>
    <w:p w:rsidR="00FA0916" w:rsidRDefault="00FA0916" w:rsidP="00FA09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1D1D1B"/>
          <w:sz w:val="27"/>
          <w:szCs w:val="27"/>
        </w:rPr>
      </w:pPr>
      <w:hyperlink r:id="rId8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Загальні рекомендації при роботі з Єдиним державним реєстром декларацій осіб, уповноважених на виконання функцій держави або місцевого самоврядування</w:t>
        </w:r>
      </w:hyperlink>
      <w:r>
        <w:rPr>
          <w:rFonts w:ascii="Arial" w:hAnsi="Arial" w:cs="Arial"/>
          <w:color w:val="1D1D1B"/>
          <w:sz w:val="27"/>
          <w:szCs w:val="27"/>
          <w:u w:val="single"/>
        </w:rPr>
        <w:t>;</w:t>
      </w:r>
    </w:p>
    <w:p w:rsidR="00FA0916" w:rsidRDefault="00FA0916" w:rsidP="00FA09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1D1D1B"/>
          <w:sz w:val="27"/>
          <w:szCs w:val="27"/>
        </w:rPr>
      </w:pPr>
      <w:hyperlink r:id="rId9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Електронна форма для повідомлень про помилки під час роботи з декларацією «Технічна допомога»</w:t>
        </w:r>
      </w:hyperlink>
      <w:r>
        <w:rPr>
          <w:rFonts w:ascii="Arial" w:hAnsi="Arial" w:cs="Arial"/>
          <w:color w:val="1D1D1B"/>
          <w:sz w:val="27"/>
          <w:szCs w:val="27"/>
          <w:u w:val="single"/>
        </w:rPr>
        <w:t>.</w:t>
      </w:r>
    </w:p>
    <w:p w:rsidR="00FA0916" w:rsidRDefault="00FA0916" w:rsidP="00FA0916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1D1D1B"/>
          <w:sz w:val="27"/>
          <w:szCs w:val="27"/>
        </w:rPr>
      </w:pPr>
      <w:r>
        <w:rPr>
          <w:rFonts w:ascii="Arial" w:hAnsi="Arial" w:cs="Arial"/>
          <w:color w:val="1D1D1B"/>
          <w:sz w:val="27"/>
          <w:szCs w:val="27"/>
        </w:rPr>
        <w:t>Крім цього, працює «гаряча лінія» технічної допомоги щодо роботи Єдиного державного реєстру декларацій осіб, уповноважених на виконання функцій держави або місцевого самоврядування: </w:t>
      </w:r>
      <w:hyperlink r:id="rId10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+38(044)200-06-94</w:t>
        </w:r>
      </w:hyperlink>
      <w:r>
        <w:rPr>
          <w:rFonts w:ascii="Arial" w:hAnsi="Arial" w:cs="Arial"/>
          <w:color w:val="1D1D1B"/>
          <w:sz w:val="27"/>
          <w:szCs w:val="27"/>
        </w:rPr>
        <w:t xml:space="preserve"> та </w:t>
      </w:r>
      <w:proofErr w:type="spellStart"/>
      <w:r>
        <w:rPr>
          <w:rFonts w:ascii="Arial" w:hAnsi="Arial" w:cs="Arial"/>
          <w:color w:val="1D1D1B"/>
          <w:sz w:val="27"/>
          <w:szCs w:val="27"/>
        </w:rPr>
        <w:t>email</w:t>
      </w:r>
      <w:proofErr w:type="spellEnd"/>
      <w:r>
        <w:rPr>
          <w:rFonts w:ascii="Arial" w:hAnsi="Arial" w:cs="Arial"/>
          <w:color w:val="1D1D1B"/>
          <w:sz w:val="27"/>
          <w:szCs w:val="27"/>
        </w:rPr>
        <w:t>: </w:t>
      </w:r>
      <w:hyperlink r:id="rId11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support@nazk.gov.ua</w:t>
        </w:r>
      </w:hyperlink>
      <w:r>
        <w:rPr>
          <w:rFonts w:ascii="Arial" w:hAnsi="Arial" w:cs="Arial"/>
          <w:color w:val="1D1D1B"/>
          <w:sz w:val="27"/>
          <w:szCs w:val="27"/>
        </w:rPr>
        <w:t>.</w:t>
      </w:r>
    </w:p>
    <w:p w:rsidR="00FA0916" w:rsidRDefault="00FA0916" w:rsidP="00FA0916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1D1D1B"/>
          <w:sz w:val="27"/>
          <w:szCs w:val="27"/>
        </w:rPr>
      </w:pPr>
      <w:r>
        <w:rPr>
          <w:rFonts w:ascii="Arial" w:hAnsi="Arial" w:cs="Arial"/>
          <w:color w:val="1D1D1B"/>
          <w:sz w:val="27"/>
          <w:szCs w:val="27"/>
        </w:rPr>
        <w:t>Роз’яснення щодо заповнення декларацій на постійній основі розміщуються  в публічному </w:t>
      </w:r>
      <w:hyperlink r:id="rId12" w:history="1">
        <w:r>
          <w:rPr>
            <w:rStyle w:val="a5"/>
            <w:rFonts w:ascii="Arial" w:hAnsi="Arial" w:cs="Arial"/>
            <w:color w:val="004BC1"/>
            <w:sz w:val="27"/>
            <w:szCs w:val="27"/>
            <w:u w:val="none"/>
          </w:rPr>
          <w:t>Telegram-каналі НАЗК</w:t>
        </w:r>
      </w:hyperlink>
      <w:r>
        <w:rPr>
          <w:rFonts w:ascii="Arial" w:hAnsi="Arial" w:cs="Arial"/>
          <w:color w:val="1D1D1B"/>
          <w:sz w:val="27"/>
          <w:szCs w:val="27"/>
        </w:rPr>
        <w:t> та на офіційній сторінці Національного агентства у </w:t>
      </w:r>
      <w:proofErr w:type="spellStart"/>
      <w:r>
        <w:rPr>
          <w:rFonts w:ascii="Arial" w:hAnsi="Arial" w:cs="Arial"/>
          <w:color w:val="1D1D1B"/>
          <w:sz w:val="27"/>
          <w:szCs w:val="27"/>
        </w:rPr>
        <w:fldChar w:fldCharType="begin"/>
      </w:r>
      <w:r>
        <w:rPr>
          <w:rFonts w:ascii="Arial" w:hAnsi="Arial" w:cs="Arial"/>
          <w:color w:val="1D1D1B"/>
          <w:sz w:val="27"/>
          <w:szCs w:val="27"/>
        </w:rPr>
        <w:instrText xml:space="preserve"> HYPERLINK "https://www.facebook.com/NAZKgov" </w:instrText>
      </w:r>
      <w:r>
        <w:rPr>
          <w:rFonts w:ascii="Arial" w:hAnsi="Arial" w:cs="Arial"/>
          <w:color w:val="1D1D1B"/>
          <w:sz w:val="27"/>
          <w:szCs w:val="27"/>
        </w:rPr>
        <w:fldChar w:fldCharType="separate"/>
      </w:r>
      <w:r>
        <w:rPr>
          <w:rStyle w:val="a5"/>
          <w:rFonts w:ascii="Arial" w:hAnsi="Arial" w:cs="Arial"/>
          <w:color w:val="004BC1"/>
          <w:sz w:val="27"/>
          <w:szCs w:val="27"/>
          <w:u w:val="none"/>
        </w:rPr>
        <w:t>Facebook</w:t>
      </w:r>
      <w:proofErr w:type="spellEnd"/>
      <w:r>
        <w:rPr>
          <w:rFonts w:ascii="Arial" w:hAnsi="Arial" w:cs="Arial"/>
          <w:color w:val="1D1D1B"/>
          <w:sz w:val="27"/>
          <w:szCs w:val="27"/>
        </w:rPr>
        <w:fldChar w:fldCharType="end"/>
      </w:r>
      <w:r>
        <w:rPr>
          <w:rFonts w:ascii="Arial" w:hAnsi="Arial" w:cs="Arial"/>
          <w:color w:val="1D1D1B"/>
          <w:sz w:val="27"/>
          <w:szCs w:val="27"/>
        </w:rPr>
        <w:t>.</w:t>
      </w:r>
    </w:p>
    <w:p w:rsidR="00FA0916" w:rsidRDefault="00FA0916" w:rsidP="00FA0916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1D1D1B"/>
          <w:sz w:val="27"/>
          <w:szCs w:val="27"/>
        </w:rPr>
      </w:pPr>
      <w:r>
        <w:rPr>
          <w:rFonts w:ascii="Arial" w:hAnsi="Arial" w:cs="Arial"/>
          <w:color w:val="1D1D1B"/>
          <w:sz w:val="27"/>
          <w:szCs w:val="27"/>
        </w:rPr>
        <w:t>З урахуванням збільшення кількості суб’єктів декларування Національне агентство з питань запобігання корупції просить не зволікати з поданням декларацій. Це дозволить уникнути критичних навантажень на Реєстр в останні дні кампанії.</w:t>
      </w:r>
    </w:p>
    <w:p w:rsidR="00A820EA" w:rsidRPr="007F202B" w:rsidRDefault="00A820EA" w:rsidP="007F202B">
      <w:pPr>
        <w:rPr>
          <w:szCs w:val="24"/>
        </w:rPr>
      </w:pPr>
    </w:p>
    <w:sectPr w:rsidR="00A820EA" w:rsidRPr="007F202B" w:rsidSect="00CB612C">
      <w:pgSz w:w="11906" w:h="16838"/>
      <w:pgMar w:top="850" w:right="850" w:bottom="1135" w:left="141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223"/>
    <w:multiLevelType w:val="multilevel"/>
    <w:tmpl w:val="91B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721D57"/>
    <w:rsid w:val="00073C11"/>
    <w:rsid w:val="002567C9"/>
    <w:rsid w:val="00280C93"/>
    <w:rsid w:val="002938AB"/>
    <w:rsid w:val="002C3C26"/>
    <w:rsid w:val="002F24B4"/>
    <w:rsid w:val="0032539B"/>
    <w:rsid w:val="0041067C"/>
    <w:rsid w:val="006063FF"/>
    <w:rsid w:val="00702D4C"/>
    <w:rsid w:val="00721D57"/>
    <w:rsid w:val="007515FD"/>
    <w:rsid w:val="00793D1F"/>
    <w:rsid w:val="007F202B"/>
    <w:rsid w:val="00867D07"/>
    <w:rsid w:val="00A649BB"/>
    <w:rsid w:val="00A820EA"/>
    <w:rsid w:val="00AC305E"/>
    <w:rsid w:val="00B92667"/>
    <w:rsid w:val="00CB612C"/>
    <w:rsid w:val="00D9094B"/>
    <w:rsid w:val="00E82555"/>
    <w:rsid w:val="00F156B0"/>
    <w:rsid w:val="00F226DE"/>
    <w:rsid w:val="00FA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4"/>
    <w:pPr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73C11"/>
    <w:pPr>
      <w:spacing w:before="100" w:beforeAutospacing="1" w:after="100" w:afterAutospacing="1"/>
      <w:outlineLvl w:val="2"/>
    </w:pPr>
    <w:rPr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C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073C11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C30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0E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91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FA0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848">
          <w:marLeft w:val="0"/>
          <w:marRight w:val="0"/>
          <w:marTop w:val="0"/>
          <w:marBottom w:val="75"/>
          <w:divBdr>
            <w:top w:val="single" w:sz="12" w:space="0" w:color="D5DEED"/>
            <w:left w:val="single" w:sz="12" w:space="11" w:color="D5DEED"/>
            <w:bottom w:val="single" w:sz="12" w:space="0" w:color="D5DEED"/>
            <w:right w:val="single" w:sz="12" w:space="11" w:color="D5DE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uk/departament-perevirky-deklaratsij-ta-monitoryngu-sposobu-zhyttya/rekomendatsiyi-pry-roboti-z-yedr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zk.gov.ua/wp-content/uploads/2019/12/SZ-shhodo-onovlennya-informatsiyi-na-sajti.pdf" TargetMode="External"/><Relationship Id="rId12" Type="http://schemas.openxmlformats.org/officeDocument/2006/relationships/hyperlink" Target="https://t.me/NAZK_gov_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zk.gov.ua/uk/departament-perevirky-deklaratsij-ta-monitoryngu-sposobu-zhyttya/najchastishi-zapytannya/" TargetMode="External"/><Relationship Id="rId11" Type="http://schemas.openxmlformats.org/officeDocument/2006/relationships/hyperlink" Target="mailto:support@nazk.gov.ua" TargetMode="External"/><Relationship Id="rId5" Type="http://schemas.openxmlformats.org/officeDocument/2006/relationships/hyperlink" Target="https://nazk.gov.ua/uk/departament-perevirky-deklaratsij-ta-monitoryngu-sposobu-zhyttya/metodychni-rekomendatsiyi-sub-yektam-deklaruvannya/" TargetMode="External"/><Relationship Id="rId10" Type="http://schemas.openxmlformats.org/officeDocument/2006/relationships/hyperlink" Target="tel:+380442000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zk.gov.ua/uk/departament-perevirky-deklaratsij-ta-monitoryngu-sposobu-zhyttya/tehnichna-dopomog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Rozhkov_VF</dc:creator>
  <cp:lastModifiedBy>Rozhkov_VF</cp:lastModifiedBy>
  <cp:revision>2</cp:revision>
  <cp:lastPrinted>2021-06-01T05:56:00Z</cp:lastPrinted>
  <dcterms:created xsi:type="dcterms:W3CDTF">2021-06-29T09:48:00Z</dcterms:created>
  <dcterms:modified xsi:type="dcterms:W3CDTF">2021-06-29T09:48:00Z</dcterms:modified>
</cp:coreProperties>
</file>